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FA" w:rsidRPr="000000FA" w:rsidRDefault="000000FA" w:rsidP="000000FA">
      <w:pPr>
        <w:widowControl/>
        <w:jc w:val="left"/>
        <w:rPr>
          <w:rFonts w:ascii="楷体" w:eastAsia="楷体" w:hAnsi="楷体"/>
          <w:sz w:val="24"/>
          <w:szCs w:val="24"/>
        </w:rPr>
      </w:pPr>
      <w:r w:rsidRPr="00997916">
        <w:rPr>
          <w:rStyle w:val="a3"/>
          <w:rFonts w:ascii="楷体" w:eastAsia="楷体" w:hAnsi="楷体" w:cs="Arial" w:hint="eastAsia"/>
          <w:color w:val="BF101F"/>
          <w:szCs w:val="21"/>
        </w:rPr>
        <w:t xml:space="preserve"> </w:t>
      </w:r>
      <w:r w:rsidRPr="000000FA">
        <w:rPr>
          <w:rStyle w:val="a3"/>
          <w:rFonts w:ascii="楷体" w:eastAsia="楷体" w:hAnsi="楷体" w:cs="Arial" w:hint="eastAsia"/>
          <w:color w:val="BF101F"/>
          <w:sz w:val="24"/>
          <w:szCs w:val="24"/>
        </w:rPr>
        <w:t xml:space="preserve"> 评分标准</w:t>
      </w:r>
    </w:p>
    <w:p w:rsidR="000000FA" w:rsidRPr="000000FA" w:rsidRDefault="000000FA" w:rsidP="000000FA">
      <w:pPr>
        <w:widowControl/>
        <w:spacing w:line="390" w:lineRule="atLeast"/>
        <w:ind w:left="450" w:right="450"/>
        <w:jc w:val="left"/>
        <w:rPr>
          <w:rFonts w:ascii="楷体" w:eastAsia="楷体" w:hAnsi="楷体" w:cs="Arial"/>
          <w:color w:val="747474"/>
          <w:sz w:val="24"/>
          <w:szCs w:val="24"/>
        </w:rPr>
      </w:pPr>
    </w:p>
    <w:p w:rsidR="000000FA" w:rsidRPr="000000FA" w:rsidRDefault="000000FA" w:rsidP="000000FA">
      <w:pPr>
        <w:rPr>
          <w:rFonts w:ascii="楷体" w:eastAsia="楷体" w:hAnsi="楷体" w:cs="楷体_GB2312" w:hint="eastAsia"/>
          <w:b/>
          <w:bCs/>
          <w:color w:val="FF0000"/>
          <w:kern w:val="0"/>
          <w:sz w:val="24"/>
          <w:szCs w:val="24"/>
        </w:rPr>
      </w:pPr>
      <w:r w:rsidRPr="000000FA">
        <w:rPr>
          <w:rFonts w:ascii="楷体" w:eastAsia="楷体" w:hAnsi="楷体" w:cs="楷体_GB2312" w:hint="eastAsia"/>
          <w:kern w:val="0"/>
          <w:sz w:val="24"/>
          <w:szCs w:val="24"/>
        </w:rPr>
        <w:t xml:space="preserve">    </w:t>
      </w:r>
      <w:r w:rsidRPr="000000FA">
        <w:rPr>
          <w:rFonts w:ascii="楷体" w:eastAsia="楷体" w:hAnsi="楷体" w:cs="楷体_GB2312" w:hint="eastAsia"/>
          <w:b/>
          <w:bCs/>
          <w:color w:val="FF0000"/>
          <w:kern w:val="0"/>
          <w:sz w:val="24"/>
          <w:szCs w:val="24"/>
        </w:rPr>
        <w:t>设计评分标准：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5472"/>
      </w:tblGrid>
      <w:tr w:rsidR="000000FA" w:rsidRPr="000000FA" w:rsidTr="007636EB">
        <w:trPr>
          <w:trHeight w:val="1682"/>
        </w:trPr>
        <w:tc>
          <w:tcPr>
            <w:tcW w:w="2628" w:type="dxa"/>
          </w:tcPr>
          <w:p w:rsidR="000000FA" w:rsidRPr="000000FA" w:rsidRDefault="000000FA" w:rsidP="007636EB">
            <w:pPr>
              <w:jc w:val="center"/>
              <w:rPr>
                <w:rFonts w:ascii="楷体" w:eastAsia="楷体" w:hAnsi="楷体" w:cs="楷体_GB2312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b/>
                <w:bCs/>
                <w:kern w:val="0"/>
                <w:sz w:val="24"/>
                <w:szCs w:val="24"/>
              </w:rPr>
              <w:t>设计内容：（25分）</w:t>
            </w:r>
          </w:p>
        </w:tc>
        <w:tc>
          <w:tcPr>
            <w:tcW w:w="5472" w:type="dxa"/>
          </w:tcPr>
          <w:p w:rsidR="000000FA" w:rsidRPr="000000FA" w:rsidRDefault="000000FA" w:rsidP="007636EB">
            <w:pPr>
              <w:numPr>
                <w:ilvl w:val="0"/>
                <w:numId w:val="2"/>
              </w:numP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作品表达内容积极向上，青春活力，体现嘉庚学院特色。</w:t>
            </w:r>
          </w:p>
          <w:p w:rsidR="000000FA" w:rsidRPr="000000FA" w:rsidRDefault="000000FA" w:rsidP="007636EB">
            <w:pPr>
              <w:numPr>
                <w:ilvl w:val="0"/>
                <w:numId w:val="2"/>
              </w:numP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作品所蕴含的思想主题积极向上，符合当代大学生精神面貌。</w:t>
            </w:r>
          </w:p>
          <w:p w:rsidR="000000FA" w:rsidRPr="000000FA" w:rsidRDefault="000000FA" w:rsidP="007636EB">
            <w:pPr>
              <w:numPr>
                <w:ilvl w:val="0"/>
                <w:numId w:val="2"/>
              </w:numP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能够清晰表达设计意图</w:t>
            </w:r>
          </w:p>
        </w:tc>
      </w:tr>
      <w:tr w:rsidR="000000FA" w:rsidRPr="000000FA" w:rsidTr="007636EB">
        <w:trPr>
          <w:trHeight w:val="854"/>
        </w:trPr>
        <w:tc>
          <w:tcPr>
            <w:tcW w:w="2628" w:type="dxa"/>
          </w:tcPr>
          <w:p w:rsidR="000000FA" w:rsidRPr="000000FA" w:rsidRDefault="000000FA" w:rsidP="007636EB">
            <w:pPr>
              <w:jc w:val="center"/>
              <w:rPr>
                <w:rFonts w:ascii="楷体" w:eastAsia="楷体" w:hAnsi="楷体" w:cs="楷体_GB2312" w:hint="eastAsia"/>
                <w:b/>
                <w:bCs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b/>
                <w:bCs/>
                <w:kern w:val="0"/>
                <w:sz w:val="24"/>
                <w:szCs w:val="24"/>
              </w:rPr>
              <w:t>设计艺术性：（25分）</w:t>
            </w:r>
          </w:p>
        </w:tc>
        <w:tc>
          <w:tcPr>
            <w:tcW w:w="5472" w:type="dxa"/>
          </w:tcPr>
          <w:p w:rsidR="000000FA" w:rsidRPr="000000FA" w:rsidRDefault="000000FA" w:rsidP="007636EB">
            <w:pPr>
              <w:numPr>
                <w:ilvl w:val="0"/>
                <w:numId w:val="3"/>
              </w:numPr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  <w:t>色彩协调</w:t>
            </w:r>
          </w:p>
          <w:p w:rsidR="000000FA" w:rsidRPr="000000FA" w:rsidRDefault="000000FA" w:rsidP="007636EB">
            <w:pPr>
              <w:numPr>
                <w:ilvl w:val="0"/>
                <w:numId w:val="3"/>
              </w:numPr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  <w:t>制作美观</w:t>
            </w:r>
          </w:p>
        </w:tc>
      </w:tr>
      <w:tr w:rsidR="000000FA" w:rsidRPr="000000FA" w:rsidTr="007636EB">
        <w:trPr>
          <w:trHeight w:val="1238"/>
        </w:trPr>
        <w:tc>
          <w:tcPr>
            <w:tcW w:w="2628" w:type="dxa"/>
          </w:tcPr>
          <w:p w:rsidR="000000FA" w:rsidRPr="000000FA" w:rsidRDefault="000000FA" w:rsidP="007636EB">
            <w:pPr>
              <w:rPr>
                <w:rFonts w:ascii="楷体" w:eastAsia="楷体" w:hAnsi="楷体" w:cs="楷体_GB2312" w:hint="eastAsia"/>
                <w:b/>
                <w:bCs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b/>
                <w:bCs/>
                <w:kern w:val="0"/>
                <w:sz w:val="24"/>
                <w:szCs w:val="24"/>
              </w:rPr>
              <w:t>创意性：（25分）</w:t>
            </w:r>
          </w:p>
        </w:tc>
        <w:tc>
          <w:tcPr>
            <w:tcW w:w="5472" w:type="dxa"/>
          </w:tcPr>
          <w:p w:rsidR="000000FA" w:rsidRPr="000000FA" w:rsidRDefault="000000FA" w:rsidP="007636EB">
            <w:pPr>
              <w:numPr>
                <w:ilvl w:val="0"/>
                <w:numId w:val="4"/>
              </w:numPr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  <w:t>作品富有创新创意</w:t>
            </w:r>
          </w:p>
          <w:p w:rsidR="000000FA" w:rsidRPr="000000FA" w:rsidRDefault="000000FA" w:rsidP="007636EB">
            <w:pPr>
              <w:numPr>
                <w:ilvl w:val="0"/>
                <w:numId w:val="4"/>
              </w:numPr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  <w:t>有自己的设计风格</w:t>
            </w:r>
          </w:p>
          <w:p w:rsidR="000000FA" w:rsidRPr="000000FA" w:rsidRDefault="000000FA" w:rsidP="007636EB">
            <w:pPr>
              <w:numPr>
                <w:ilvl w:val="0"/>
                <w:numId w:val="4"/>
              </w:numPr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  <w:t>有观赏性</w:t>
            </w:r>
          </w:p>
          <w:p w:rsidR="000000FA" w:rsidRPr="000000FA" w:rsidRDefault="000000FA" w:rsidP="007636EB">
            <w:pPr>
              <w:numPr>
                <w:ilvl w:val="0"/>
                <w:numId w:val="4"/>
              </w:numPr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  <w:t>有推广价值</w:t>
            </w:r>
          </w:p>
        </w:tc>
      </w:tr>
      <w:tr w:rsidR="000000FA" w:rsidRPr="000000FA" w:rsidTr="007636EB">
        <w:trPr>
          <w:trHeight w:val="830"/>
        </w:trPr>
        <w:tc>
          <w:tcPr>
            <w:tcW w:w="2628" w:type="dxa"/>
          </w:tcPr>
          <w:p w:rsidR="000000FA" w:rsidRPr="000000FA" w:rsidRDefault="000000FA" w:rsidP="007636EB">
            <w:pPr>
              <w:jc w:val="center"/>
              <w:rPr>
                <w:rFonts w:ascii="楷体" w:eastAsia="楷体" w:hAnsi="楷体" w:cs="楷体_GB2312" w:hint="eastAsia"/>
                <w:b/>
                <w:bCs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b/>
                <w:bCs/>
                <w:kern w:val="0"/>
                <w:sz w:val="24"/>
                <w:szCs w:val="24"/>
              </w:rPr>
              <w:t>实用性：（25分）</w:t>
            </w:r>
          </w:p>
        </w:tc>
        <w:tc>
          <w:tcPr>
            <w:tcW w:w="5472" w:type="dxa"/>
          </w:tcPr>
          <w:p w:rsidR="000000FA" w:rsidRPr="000000FA" w:rsidRDefault="000000FA" w:rsidP="007636EB">
            <w:pPr>
              <w:numPr>
                <w:ilvl w:val="0"/>
                <w:numId w:val="5"/>
              </w:numPr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  <w:t>作品成本价格控制在10元内</w:t>
            </w:r>
          </w:p>
          <w:p w:rsidR="000000FA" w:rsidRPr="000000FA" w:rsidRDefault="000000FA" w:rsidP="007636EB">
            <w:pPr>
              <w:numPr>
                <w:ilvl w:val="0"/>
                <w:numId w:val="5"/>
              </w:numPr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  <w:t>可进行批量生产</w:t>
            </w:r>
          </w:p>
          <w:p w:rsidR="000000FA" w:rsidRPr="000000FA" w:rsidRDefault="000000FA" w:rsidP="007636EB">
            <w:pPr>
              <w:numPr>
                <w:ilvl w:val="0"/>
                <w:numId w:val="5"/>
              </w:numPr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</w:pPr>
            <w:r w:rsidRPr="000000FA">
              <w:rPr>
                <w:rFonts w:ascii="楷体" w:eastAsia="楷体" w:hAnsi="楷体" w:cs="楷体_GB2312" w:hint="eastAsia"/>
                <w:kern w:val="0"/>
                <w:sz w:val="24"/>
                <w:szCs w:val="24"/>
              </w:rPr>
              <w:t>可实施性强</w:t>
            </w:r>
          </w:p>
        </w:tc>
      </w:tr>
    </w:tbl>
    <w:p w:rsidR="000000FA" w:rsidRPr="000000FA" w:rsidRDefault="000000FA" w:rsidP="000000FA">
      <w:pPr>
        <w:ind w:firstLineChars="200" w:firstLine="482"/>
        <w:rPr>
          <w:rFonts w:ascii="楷体" w:eastAsia="楷体" w:hAnsi="楷体" w:cs="楷体_GB2312" w:hint="eastAsia"/>
          <w:b/>
          <w:bCs/>
          <w:color w:val="FF0000"/>
          <w:kern w:val="0"/>
          <w:sz w:val="24"/>
          <w:szCs w:val="24"/>
        </w:rPr>
      </w:pPr>
    </w:p>
    <w:p w:rsidR="001C4E00" w:rsidRPr="000000FA" w:rsidRDefault="001C4E00">
      <w:pPr>
        <w:rPr>
          <w:sz w:val="24"/>
          <w:szCs w:val="24"/>
        </w:rPr>
      </w:pPr>
    </w:p>
    <w:sectPr w:rsidR="001C4E00" w:rsidRPr="000000FA" w:rsidSect="001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7C73"/>
    <w:multiLevelType w:val="hybridMultilevel"/>
    <w:tmpl w:val="C950BF68"/>
    <w:lvl w:ilvl="0" w:tplc="16E22A6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14019C"/>
    <w:multiLevelType w:val="singleLevel"/>
    <w:tmpl w:val="5514019C"/>
    <w:lvl w:ilvl="0">
      <w:start w:val="1"/>
      <w:numFmt w:val="decimal"/>
      <w:suff w:val="nothing"/>
      <w:lvlText w:val="（%1）"/>
      <w:lvlJc w:val="left"/>
    </w:lvl>
  </w:abstractNum>
  <w:abstractNum w:abstractNumId="2">
    <w:nsid w:val="551407FE"/>
    <w:multiLevelType w:val="singleLevel"/>
    <w:tmpl w:val="551407FE"/>
    <w:lvl w:ilvl="0">
      <w:start w:val="1"/>
      <w:numFmt w:val="decimal"/>
      <w:suff w:val="nothing"/>
      <w:lvlText w:val="（%1）"/>
      <w:lvlJc w:val="left"/>
    </w:lvl>
  </w:abstractNum>
  <w:abstractNum w:abstractNumId="3">
    <w:nsid w:val="551408A6"/>
    <w:multiLevelType w:val="singleLevel"/>
    <w:tmpl w:val="551408A6"/>
    <w:lvl w:ilvl="0">
      <w:start w:val="1"/>
      <w:numFmt w:val="decimal"/>
      <w:suff w:val="nothing"/>
      <w:lvlText w:val="（%1）"/>
      <w:lvlJc w:val="left"/>
    </w:lvl>
  </w:abstractNum>
  <w:abstractNum w:abstractNumId="4">
    <w:nsid w:val="551408D5"/>
    <w:multiLevelType w:val="singleLevel"/>
    <w:tmpl w:val="551408D5"/>
    <w:lvl w:ilvl="0">
      <w:start w:val="1"/>
      <w:numFmt w:val="decimal"/>
      <w:suff w:val="nothing"/>
      <w:lvlText w:val="（%1）"/>
      <w:lvlJc w:val="left"/>
    </w:lvl>
  </w:abstractNum>
  <w:abstractNum w:abstractNumId="5">
    <w:nsid w:val="55140A0B"/>
    <w:multiLevelType w:val="singleLevel"/>
    <w:tmpl w:val="55140A0B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0FA"/>
    <w:rsid w:val="000000FA"/>
    <w:rsid w:val="000F1774"/>
    <w:rsid w:val="001C4E00"/>
    <w:rsid w:val="00313A9C"/>
    <w:rsid w:val="004E7BD9"/>
    <w:rsid w:val="0052160A"/>
    <w:rsid w:val="005E0502"/>
    <w:rsid w:val="00B52C35"/>
    <w:rsid w:val="00C53611"/>
    <w:rsid w:val="00D3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0000FA"/>
    <w:pPr>
      <w:spacing w:before="100" w:beforeAutospacing="1" w:after="100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000FA"/>
    <w:rPr>
      <w:rFonts w:ascii="宋体" w:eastAsia="宋体" w:hAnsi="宋体" w:cs="宋体"/>
      <w:b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000FA"/>
    <w:rPr>
      <w:b/>
    </w:rPr>
  </w:style>
  <w:style w:type="paragraph" w:customStyle="1" w:styleId="ListParagraph">
    <w:name w:val="List Paragraph"/>
    <w:basedOn w:val="a"/>
    <w:uiPriority w:val="34"/>
    <w:qFormat/>
    <w:rsid w:val="000000FA"/>
    <w:pPr>
      <w:ind w:firstLineChars="200" w:firstLine="420"/>
    </w:pPr>
  </w:style>
  <w:style w:type="paragraph" w:styleId="a4">
    <w:name w:val="List Paragraph"/>
    <w:basedOn w:val="a"/>
    <w:uiPriority w:val="34"/>
    <w:qFormat/>
    <w:rsid w:val="000000F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MS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2017-03-22T06:55:00Z</dcterms:created>
  <dcterms:modified xsi:type="dcterms:W3CDTF">2017-03-22T06:57:00Z</dcterms:modified>
</cp:coreProperties>
</file>